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ECC" w:rsidRPr="0096440B" w:rsidRDefault="00CE259A" w:rsidP="0096440B">
      <w:pPr>
        <w:spacing w:line="480" w:lineRule="auto"/>
        <w:contextualSpacing/>
        <w:rPr>
          <w:rFonts w:ascii="Times New Roman" w:hAnsi="Times New Roman" w:cs="Times New Roman"/>
          <w:sz w:val="24"/>
          <w:szCs w:val="24"/>
        </w:rPr>
      </w:pPr>
      <w:r w:rsidRPr="0096440B">
        <w:rPr>
          <w:rFonts w:ascii="Times New Roman" w:hAnsi="Times New Roman" w:cs="Times New Roman"/>
          <w:sz w:val="24"/>
          <w:szCs w:val="24"/>
        </w:rPr>
        <w:t>Student</w:t>
      </w:r>
      <w:r w:rsidR="001849A4">
        <w:rPr>
          <w:rFonts w:ascii="Times New Roman" w:hAnsi="Times New Roman" w:cs="Times New Roman"/>
          <w:sz w:val="24"/>
          <w:szCs w:val="24"/>
        </w:rPr>
        <w:t>'</w:t>
      </w:r>
      <w:r w:rsidRPr="0096440B">
        <w:rPr>
          <w:rFonts w:ascii="Times New Roman" w:hAnsi="Times New Roman" w:cs="Times New Roman"/>
          <w:sz w:val="24"/>
          <w:szCs w:val="24"/>
        </w:rPr>
        <w:t>s Name</w:t>
      </w:r>
    </w:p>
    <w:p w:rsidR="00CE259A" w:rsidRPr="0096440B" w:rsidRDefault="00CE259A" w:rsidP="0096440B">
      <w:pPr>
        <w:spacing w:line="480" w:lineRule="auto"/>
        <w:contextualSpacing/>
        <w:rPr>
          <w:rFonts w:ascii="Times New Roman" w:hAnsi="Times New Roman" w:cs="Times New Roman"/>
          <w:sz w:val="24"/>
          <w:szCs w:val="24"/>
        </w:rPr>
      </w:pPr>
      <w:r w:rsidRPr="0096440B">
        <w:rPr>
          <w:rFonts w:ascii="Times New Roman" w:hAnsi="Times New Roman" w:cs="Times New Roman"/>
          <w:sz w:val="24"/>
          <w:szCs w:val="24"/>
        </w:rPr>
        <w:t>Professor</w:t>
      </w:r>
      <w:r w:rsidR="001849A4">
        <w:rPr>
          <w:rFonts w:ascii="Times New Roman" w:hAnsi="Times New Roman" w:cs="Times New Roman"/>
          <w:sz w:val="24"/>
          <w:szCs w:val="24"/>
        </w:rPr>
        <w:t>'</w:t>
      </w:r>
      <w:r w:rsidRPr="0096440B">
        <w:rPr>
          <w:rFonts w:ascii="Times New Roman" w:hAnsi="Times New Roman" w:cs="Times New Roman"/>
          <w:sz w:val="24"/>
          <w:szCs w:val="24"/>
        </w:rPr>
        <w:t>s Name</w:t>
      </w:r>
    </w:p>
    <w:p w:rsidR="00CE259A" w:rsidRPr="0096440B" w:rsidRDefault="00CE259A" w:rsidP="0096440B">
      <w:pPr>
        <w:spacing w:line="480" w:lineRule="auto"/>
        <w:contextualSpacing/>
        <w:rPr>
          <w:rFonts w:ascii="Times New Roman" w:hAnsi="Times New Roman" w:cs="Times New Roman"/>
          <w:sz w:val="24"/>
          <w:szCs w:val="24"/>
        </w:rPr>
      </w:pPr>
      <w:r w:rsidRPr="0096440B">
        <w:rPr>
          <w:rFonts w:ascii="Times New Roman" w:hAnsi="Times New Roman" w:cs="Times New Roman"/>
          <w:sz w:val="24"/>
          <w:szCs w:val="24"/>
        </w:rPr>
        <w:t>Course</w:t>
      </w:r>
    </w:p>
    <w:p w:rsidR="00CE259A" w:rsidRDefault="00CE259A" w:rsidP="0096440B">
      <w:pPr>
        <w:spacing w:line="480" w:lineRule="auto"/>
        <w:contextualSpacing/>
        <w:rPr>
          <w:rFonts w:ascii="Times New Roman" w:hAnsi="Times New Roman" w:cs="Times New Roman"/>
          <w:sz w:val="24"/>
          <w:szCs w:val="24"/>
        </w:rPr>
      </w:pPr>
      <w:r w:rsidRPr="0096440B">
        <w:rPr>
          <w:rFonts w:ascii="Times New Roman" w:hAnsi="Times New Roman" w:cs="Times New Roman"/>
          <w:sz w:val="24"/>
          <w:szCs w:val="24"/>
        </w:rPr>
        <w:t>Date</w:t>
      </w:r>
    </w:p>
    <w:p w:rsidR="00E24881" w:rsidRPr="00E24881" w:rsidRDefault="00E24881" w:rsidP="00E24881">
      <w:pPr>
        <w:spacing w:after="240" w:line="480" w:lineRule="auto"/>
        <w:ind w:firstLine="720"/>
        <w:contextualSpacing/>
        <w:rPr>
          <w:rFonts w:ascii="Times New Roman" w:eastAsia="Calibri" w:hAnsi="Times New Roman" w:cs="Times New Roman"/>
          <w:sz w:val="24"/>
          <w:szCs w:val="24"/>
        </w:rPr>
      </w:pPr>
      <w:r w:rsidRPr="00E24881">
        <w:rPr>
          <w:rFonts w:ascii="Times New Roman" w:eastAsia="Calibri" w:hAnsi="Times New Roman" w:cs="Times New Roman"/>
          <w:sz w:val="24"/>
          <w:szCs w:val="24"/>
        </w:rPr>
        <w:t xml:space="preserve">Judith Butler explains public assembly elements under winning monetary and political conditions, dissecting what they imply and how. Understanding congregations as plural types of </w:t>
      </w:r>
      <w:proofErr w:type="spellStart"/>
      <w:r w:rsidRPr="00E24881">
        <w:rPr>
          <w:rFonts w:ascii="Times New Roman" w:eastAsia="Calibri" w:hAnsi="Times New Roman" w:cs="Times New Roman"/>
          <w:sz w:val="24"/>
          <w:szCs w:val="24"/>
        </w:rPr>
        <w:t>performative</w:t>
      </w:r>
      <w:proofErr w:type="spellEnd"/>
      <w:r w:rsidRPr="00E24881">
        <w:rPr>
          <w:rFonts w:ascii="Times New Roman" w:eastAsia="Calibri" w:hAnsi="Times New Roman" w:cs="Times New Roman"/>
          <w:sz w:val="24"/>
          <w:szCs w:val="24"/>
        </w:rPr>
        <w:t xml:space="preserve"> activity, Butler stretches out her performativity hypothesis to contend that </w:t>
      </w:r>
      <w:proofErr w:type="spellStart"/>
      <w:r w:rsidRPr="00E24881">
        <w:rPr>
          <w:rFonts w:ascii="Times New Roman" w:eastAsia="Calibri" w:hAnsi="Times New Roman" w:cs="Times New Roman"/>
          <w:sz w:val="24"/>
          <w:szCs w:val="24"/>
        </w:rPr>
        <w:t>precarity</w:t>
      </w:r>
      <w:proofErr w:type="spellEnd"/>
      <w:r w:rsidRPr="00E24881">
        <w:rPr>
          <w:rFonts w:ascii="Times New Roman" w:eastAsia="Calibri" w:hAnsi="Times New Roman" w:cs="Times New Roman"/>
          <w:sz w:val="24"/>
          <w:szCs w:val="24"/>
        </w:rPr>
        <w:t xml:space="preserve">—the demolition of the states of decency—has been an electrifying power and subject in the present exceptionally noticeable fights. </w:t>
      </w:r>
    </w:p>
    <w:p w:rsidR="00E24881" w:rsidRPr="00E24881" w:rsidRDefault="00E24881" w:rsidP="00E24881">
      <w:pPr>
        <w:spacing w:after="240" w:line="480" w:lineRule="auto"/>
        <w:ind w:firstLine="720"/>
        <w:contextualSpacing/>
        <w:rPr>
          <w:rFonts w:ascii="Times New Roman" w:eastAsia="Calibri" w:hAnsi="Times New Roman" w:cs="Times New Roman"/>
          <w:sz w:val="24"/>
          <w:szCs w:val="24"/>
        </w:rPr>
      </w:pPr>
      <w:r w:rsidRPr="00E24881">
        <w:rPr>
          <w:rFonts w:ascii="Times New Roman" w:eastAsia="Calibri" w:hAnsi="Times New Roman" w:cs="Times New Roman"/>
          <w:sz w:val="24"/>
          <w:szCs w:val="24"/>
        </w:rPr>
        <w:t>Judith expands the hypothesis of performativity past discourse acts to incorporate the purposeful activities of the body. Assemblies of actual bodies have an expressive measurement that can't be diminished to speech, for the very certainty of individuals gathering "says" something without continually depending on discourse (</w:t>
      </w:r>
      <w:r w:rsidRPr="00E24881">
        <w:rPr>
          <w:rFonts w:ascii="Times New Roman" w:eastAsia="Calibri" w:hAnsi="Times New Roman" w:cs="Times New Roman"/>
          <w:color w:val="222222"/>
          <w:sz w:val="24"/>
          <w:szCs w:val="24"/>
          <w:shd w:val="clear" w:color="auto" w:fill="FFFFFF"/>
        </w:rPr>
        <w:t xml:space="preserve">Butler, </w:t>
      </w:r>
      <w:r w:rsidRPr="00E24881">
        <w:rPr>
          <w:rFonts w:ascii="Times New Roman" w:eastAsia="Calibri" w:hAnsi="Times New Roman" w:cs="Times New Roman"/>
          <w:color w:val="505151"/>
          <w:sz w:val="24"/>
          <w:szCs w:val="24"/>
          <w:shd w:val="clear" w:color="auto" w:fill="FFFFFF"/>
        </w:rPr>
        <w:t>pp. 11)</w:t>
      </w:r>
      <w:r w:rsidRPr="00E24881">
        <w:rPr>
          <w:rFonts w:ascii="Times New Roman" w:eastAsia="Calibri" w:hAnsi="Times New Roman" w:cs="Times New Roman"/>
          <w:sz w:val="24"/>
          <w:szCs w:val="24"/>
        </w:rPr>
        <w:t xml:space="preserve">. Drawing on Hannah Arendt's perspective on activity, yet changing her cases about the body's function in governmental issues, Butler states that exemplified methods of meeting up, including types of significant distance solidarity, infer another comprehension of the public space of appearance essential to legislative issues. </w:t>
      </w:r>
    </w:p>
    <w:p w:rsidR="00E24881" w:rsidRPr="00E24881" w:rsidRDefault="00E24881" w:rsidP="00E24881">
      <w:pPr>
        <w:spacing w:after="240" w:line="480" w:lineRule="auto"/>
        <w:ind w:firstLine="720"/>
        <w:contextualSpacing/>
        <w:rPr>
          <w:rFonts w:ascii="Times New Roman" w:eastAsia="Calibri" w:hAnsi="Times New Roman" w:cs="Times New Roman"/>
          <w:sz w:val="24"/>
          <w:szCs w:val="24"/>
        </w:rPr>
      </w:pPr>
      <w:r w:rsidRPr="00E24881">
        <w:rPr>
          <w:rFonts w:ascii="Times New Roman" w:eastAsia="Calibri" w:hAnsi="Times New Roman" w:cs="Times New Roman"/>
          <w:sz w:val="24"/>
          <w:szCs w:val="24"/>
        </w:rPr>
        <w:t xml:space="preserve">Judith interfaces assembly with </w:t>
      </w:r>
      <w:proofErr w:type="spellStart"/>
      <w:r w:rsidRPr="00E24881">
        <w:rPr>
          <w:rFonts w:ascii="Times New Roman" w:eastAsia="Calibri" w:hAnsi="Times New Roman" w:cs="Times New Roman"/>
          <w:sz w:val="24"/>
          <w:szCs w:val="24"/>
        </w:rPr>
        <w:t>precarity</w:t>
      </w:r>
      <w:proofErr w:type="spellEnd"/>
      <w:r w:rsidRPr="00E24881">
        <w:rPr>
          <w:rFonts w:ascii="Times New Roman" w:eastAsia="Calibri" w:hAnsi="Times New Roman" w:cs="Times New Roman"/>
          <w:sz w:val="24"/>
          <w:szCs w:val="24"/>
        </w:rPr>
        <w:t xml:space="preserve"> by calling attention to that a body enduring under states of </w:t>
      </w:r>
      <w:proofErr w:type="spellStart"/>
      <w:r w:rsidRPr="00E24881">
        <w:rPr>
          <w:rFonts w:ascii="Times New Roman" w:eastAsia="Calibri" w:hAnsi="Times New Roman" w:cs="Times New Roman"/>
          <w:sz w:val="24"/>
          <w:szCs w:val="24"/>
        </w:rPr>
        <w:t>precarity</w:t>
      </w:r>
      <w:proofErr w:type="spellEnd"/>
      <w:r w:rsidRPr="00E24881">
        <w:rPr>
          <w:rFonts w:ascii="Times New Roman" w:eastAsia="Calibri" w:hAnsi="Times New Roman" w:cs="Times New Roman"/>
          <w:sz w:val="24"/>
          <w:szCs w:val="24"/>
        </w:rPr>
        <w:t xml:space="preserve"> continues and opposes, and that activation draws out this double element of human life. Similarly, as assemblies make noticeable and discernible the bodies that require essential opportunities of development and affiliation, so do they uncover coercive practices in jail, the destroying of popular social government, and the proceeding with interest for setting up oppressed lives as making a difference, as similarly deserving of life. By </w:t>
      </w:r>
      <w:r w:rsidRPr="00E24881">
        <w:rPr>
          <w:rFonts w:ascii="Times New Roman" w:eastAsia="Calibri" w:hAnsi="Times New Roman" w:cs="Times New Roman"/>
          <w:sz w:val="24"/>
          <w:szCs w:val="24"/>
        </w:rPr>
        <w:lastRenderedPageBreak/>
        <w:t xml:space="preserve">establishing a type of revolutionary solidarity contrary to political and financial powers, another feeling of "the individuals" arises, reliant, </w:t>
      </w:r>
      <w:proofErr w:type="spellStart"/>
      <w:r w:rsidRPr="00E24881">
        <w:rPr>
          <w:rFonts w:ascii="Times New Roman" w:eastAsia="Calibri" w:hAnsi="Times New Roman" w:cs="Times New Roman"/>
          <w:sz w:val="24"/>
          <w:szCs w:val="24"/>
        </w:rPr>
        <w:t>grievable</w:t>
      </w:r>
      <w:proofErr w:type="spellEnd"/>
      <w:r w:rsidRPr="00E24881">
        <w:rPr>
          <w:rFonts w:ascii="Times New Roman" w:eastAsia="Calibri" w:hAnsi="Times New Roman" w:cs="Times New Roman"/>
          <w:sz w:val="24"/>
          <w:szCs w:val="24"/>
        </w:rPr>
        <w:t>, shaky, and industrious.</w:t>
      </w:r>
    </w:p>
    <w:p w:rsidR="00E24881" w:rsidRPr="00E24881" w:rsidRDefault="00E24881" w:rsidP="00E24881">
      <w:pPr>
        <w:spacing w:after="240" w:line="480" w:lineRule="auto"/>
        <w:ind w:firstLine="720"/>
        <w:contextualSpacing/>
        <w:rPr>
          <w:rFonts w:ascii="Times New Roman" w:eastAsia="Calibri" w:hAnsi="Times New Roman" w:cs="Times New Roman"/>
          <w:sz w:val="24"/>
          <w:szCs w:val="24"/>
        </w:rPr>
      </w:pPr>
      <w:r w:rsidRPr="00E24881">
        <w:rPr>
          <w:rFonts w:ascii="Times New Roman" w:eastAsia="Calibri" w:hAnsi="Times New Roman" w:cs="Times New Roman"/>
          <w:sz w:val="24"/>
          <w:szCs w:val="24"/>
        </w:rPr>
        <w:t xml:space="preserve">As Butler shows, the gender structure is informational for public assemblies' investigation since they share a significant component: both assemblies and gender are </w:t>
      </w:r>
      <w:proofErr w:type="spellStart"/>
      <w:r w:rsidRPr="00E24881">
        <w:rPr>
          <w:rFonts w:ascii="Times New Roman" w:eastAsia="Calibri" w:hAnsi="Times New Roman" w:cs="Times New Roman"/>
          <w:sz w:val="24"/>
          <w:szCs w:val="24"/>
        </w:rPr>
        <w:t>performative</w:t>
      </w:r>
      <w:proofErr w:type="spellEnd"/>
      <w:r w:rsidRPr="00E24881">
        <w:rPr>
          <w:rFonts w:ascii="Times New Roman" w:eastAsia="Calibri" w:hAnsi="Times New Roman" w:cs="Times New Roman"/>
          <w:sz w:val="24"/>
          <w:szCs w:val="24"/>
        </w:rPr>
        <w:t xml:space="preserve">. In the two cases, performativity is set apart by how it is a powerful presentation. Public assemblies are </w:t>
      </w:r>
      <w:proofErr w:type="spellStart"/>
      <w:r w:rsidRPr="00E24881">
        <w:rPr>
          <w:rFonts w:ascii="Times New Roman" w:eastAsia="Calibri" w:hAnsi="Times New Roman" w:cs="Times New Roman"/>
          <w:sz w:val="24"/>
          <w:szCs w:val="24"/>
        </w:rPr>
        <w:t>performative</w:t>
      </w:r>
      <w:proofErr w:type="spellEnd"/>
      <w:r w:rsidRPr="00E24881">
        <w:rPr>
          <w:rFonts w:ascii="Times New Roman" w:eastAsia="Calibri" w:hAnsi="Times New Roman" w:cs="Times New Roman"/>
          <w:sz w:val="24"/>
          <w:szCs w:val="24"/>
        </w:rPr>
        <w:t xml:space="preserve"> by instituting, simultaneously acknowledging and appearing or introducing the particular "being-with" characterizes us in our real presence. The general assembly makes what is; it is or exists just in its (self-</w:t>
      </w:r>
      <w:proofErr w:type="gramStart"/>
      <w:r w:rsidRPr="00E24881">
        <w:rPr>
          <w:rFonts w:ascii="Times New Roman" w:eastAsia="Calibri" w:hAnsi="Times New Roman" w:cs="Times New Roman"/>
          <w:sz w:val="24"/>
          <w:szCs w:val="24"/>
        </w:rPr>
        <w:t>)production</w:t>
      </w:r>
      <w:proofErr w:type="gramEnd"/>
      <w:r w:rsidRPr="00E24881">
        <w:rPr>
          <w:rFonts w:ascii="Times New Roman" w:eastAsia="Calibri" w:hAnsi="Times New Roman" w:cs="Times New Roman"/>
          <w:sz w:val="24"/>
          <w:szCs w:val="24"/>
        </w:rPr>
        <w:t xml:space="preserve"> (</w:t>
      </w:r>
      <w:r w:rsidRPr="00E24881">
        <w:rPr>
          <w:rFonts w:ascii="Times New Roman" w:eastAsia="Calibri" w:hAnsi="Times New Roman" w:cs="Times New Roman"/>
          <w:color w:val="222222"/>
          <w:sz w:val="24"/>
          <w:szCs w:val="24"/>
          <w:shd w:val="clear" w:color="auto" w:fill="FFFFFF"/>
        </w:rPr>
        <w:t xml:space="preserve">Butler, </w:t>
      </w:r>
      <w:r w:rsidRPr="00E24881">
        <w:rPr>
          <w:rFonts w:ascii="Times New Roman" w:eastAsia="Calibri" w:hAnsi="Times New Roman" w:cs="Times New Roman"/>
          <w:color w:val="505151"/>
          <w:sz w:val="24"/>
          <w:szCs w:val="24"/>
          <w:shd w:val="clear" w:color="auto" w:fill="FFFFFF"/>
        </w:rPr>
        <w:t>pp. 80)</w:t>
      </w:r>
      <w:r w:rsidRPr="00E24881">
        <w:rPr>
          <w:rFonts w:ascii="Times New Roman" w:eastAsia="Calibri" w:hAnsi="Times New Roman" w:cs="Times New Roman"/>
          <w:sz w:val="24"/>
          <w:szCs w:val="24"/>
        </w:rPr>
        <w:t>. This is the overall meaning of performativity; it implies that being is turning out to be or making. The definitive knowledge of Butler's investigation of gender orientation performativity — which she brings to endure here on the comprehension of public "appearance" — is that this association among being and making likewise must get perused backward. If (in opposition to Arendt) the public appearance again has a substantial nature, at that point, its performativity can't get decreased to that of an emotional, unsure act.</w:t>
      </w:r>
    </w:p>
    <w:p w:rsidR="00E24881" w:rsidRPr="00E24881" w:rsidRDefault="00E24881" w:rsidP="00E24881">
      <w:pPr>
        <w:spacing w:after="240" w:line="480" w:lineRule="auto"/>
        <w:ind w:firstLine="720"/>
        <w:contextualSpacing/>
        <w:rPr>
          <w:rFonts w:ascii="Times New Roman" w:eastAsia="Calibri" w:hAnsi="Times New Roman" w:cs="Times New Roman"/>
          <w:sz w:val="24"/>
          <w:szCs w:val="24"/>
        </w:rPr>
      </w:pPr>
      <w:r w:rsidRPr="00E24881">
        <w:rPr>
          <w:rFonts w:ascii="Times New Roman" w:eastAsia="Calibri" w:hAnsi="Times New Roman" w:cs="Times New Roman"/>
          <w:sz w:val="24"/>
          <w:szCs w:val="24"/>
        </w:rPr>
        <w:t>It can't be the get together in its dramatic method of performativity. The assembly needs to change itself into an alternate political subject. One familiar name for this other method of political subjectivity was "party." It appears to be that additionally, the legislative issues of the public assemblies of bodies eventually is confronting one of the most established and pending inquiries of revolutionary governmental matters. It is the subject of association.</w:t>
      </w:r>
    </w:p>
    <w:p w:rsidR="00E24881" w:rsidRDefault="00E24881" w:rsidP="00E24881">
      <w:pPr>
        <w:spacing w:after="240" w:line="480" w:lineRule="auto"/>
        <w:contextualSpacing/>
        <w:rPr>
          <w:rFonts w:ascii="Times New Roman" w:eastAsia="Calibri" w:hAnsi="Times New Roman" w:cs="Times New Roman"/>
          <w:sz w:val="24"/>
          <w:szCs w:val="24"/>
        </w:rPr>
      </w:pPr>
    </w:p>
    <w:p w:rsidR="00E24881" w:rsidRDefault="00E24881" w:rsidP="00E24881">
      <w:pPr>
        <w:spacing w:after="240" w:line="480" w:lineRule="auto"/>
        <w:contextualSpacing/>
        <w:rPr>
          <w:rFonts w:ascii="Times New Roman" w:eastAsia="Calibri" w:hAnsi="Times New Roman" w:cs="Times New Roman"/>
          <w:sz w:val="24"/>
          <w:szCs w:val="24"/>
        </w:rPr>
      </w:pPr>
    </w:p>
    <w:p w:rsidR="00E24881" w:rsidRDefault="00E24881" w:rsidP="00E24881">
      <w:pPr>
        <w:spacing w:after="240" w:line="480" w:lineRule="auto"/>
        <w:contextualSpacing/>
        <w:rPr>
          <w:rFonts w:ascii="Times New Roman" w:eastAsia="Calibri" w:hAnsi="Times New Roman" w:cs="Times New Roman"/>
          <w:sz w:val="24"/>
          <w:szCs w:val="24"/>
        </w:rPr>
      </w:pPr>
    </w:p>
    <w:p w:rsidR="00E24881" w:rsidRDefault="00E24881" w:rsidP="00E24881">
      <w:pPr>
        <w:spacing w:after="240" w:line="480" w:lineRule="auto"/>
        <w:contextualSpacing/>
        <w:rPr>
          <w:rFonts w:ascii="Times New Roman" w:eastAsia="Calibri" w:hAnsi="Times New Roman" w:cs="Times New Roman"/>
          <w:sz w:val="24"/>
          <w:szCs w:val="24"/>
        </w:rPr>
      </w:pPr>
      <w:bookmarkStart w:id="0" w:name="_GoBack"/>
      <w:bookmarkEnd w:id="0"/>
    </w:p>
    <w:p w:rsidR="00E24881" w:rsidRPr="00E24881" w:rsidRDefault="00E24881" w:rsidP="00E24881">
      <w:pPr>
        <w:spacing w:after="240" w:line="480" w:lineRule="auto"/>
        <w:contextualSpacing/>
        <w:jc w:val="center"/>
        <w:rPr>
          <w:rFonts w:ascii="Times New Roman" w:eastAsia="Calibri" w:hAnsi="Times New Roman" w:cs="Times New Roman"/>
          <w:b/>
          <w:sz w:val="24"/>
          <w:szCs w:val="24"/>
        </w:rPr>
      </w:pPr>
      <w:r w:rsidRPr="00E24881">
        <w:rPr>
          <w:rFonts w:ascii="Times New Roman" w:eastAsia="Calibri" w:hAnsi="Times New Roman" w:cs="Times New Roman"/>
          <w:b/>
          <w:sz w:val="24"/>
          <w:szCs w:val="24"/>
        </w:rPr>
        <w:lastRenderedPageBreak/>
        <w:t>Work Cited</w:t>
      </w:r>
    </w:p>
    <w:p w:rsidR="00E24881" w:rsidRPr="00E24881" w:rsidRDefault="00E24881" w:rsidP="00E24881">
      <w:pPr>
        <w:spacing w:after="240" w:line="480" w:lineRule="auto"/>
        <w:contextualSpacing/>
        <w:rPr>
          <w:rFonts w:ascii="Times New Roman" w:eastAsia="Calibri" w:hAnsi="Times New Roman" w:cs="Times New Roman"/>
          <w:sz w:val="24"/>
          <w:szCs w:val="24"/>
        </w:rPr>
      </w:pPr>
      <w:r w:rsidRPr="00E24881">
        <w:rPr>
          <w:rFonts w:ascii="Times New Roman" w:eastAsia="Calibri" w:hAnsi="Times New Roman" w:cs="Times New Roman"/>
          <w:color w:val="222222"/>
          <w:sz w:val="24"/>
          <w:szCs w:val="24"/>
          <w:shd w:val="clear" w:color="auto" w:fill="FFFFFF"/>
        </w:rPr>
        <w:t>Butler, Judith. </w:t>
      </w:r>
      <w:r w:rsidRPr="00E24881">
        <w:rPr>
          <w:rFonts w:ascii="Times New Roman" w:eastAsia="Calibri" w:hAnsi="Times New Roman" w:cs="Times New Roman"/>
          <w:i/>
          <w:iCs/>
          <w:color w:val="222222"/>
          <w:sz w:val="24"/>
          <w:szCs w:val="24"/>
          <w:shd w:val="clear" w:color="auto" w:fill="FFFFFF"/>
        </w:rPr>
        <w:t xml:space="preserve">Notes toward a </w:t>
      </w:r>
      <w:proofErr w:type="spellStart"/>
      <w:r w:rsidRPr="00E24881">
        <w:rPr>
          <w:rFonts w:ascii="Times New Roman" w:eastAsia="Calibri" w:hAnsi="Times New Roman" w:cs="Times New Roman"/>
          <w:i/>
          <w:iCs/>
          <w:color w:val="222222"/>
          <w:sz w:val="24"/>
          <w:szCs w:val="24"/>
          <w:shd w:val="clear" w:color="auto" w:fill="FFFFFF"/>
        </w:rPr>
        <w:t>performative</w:t>
      </w:r>
      <w:proofErr w:type="spellEnd"/>
      <w:r w:rsidRPr="00E24881">
        <w:rPr>
          <w:rFonts w:ascii="Times New Roman" w:eastAsia="Calibri" w:hAnsi="Times New Roman" w:cs="Times New Roman"/>
          <w:i/>
          <w:iCs/>
          <w:color w:val="222222"/>
          <w:sz w:val="24"/>
          <w:szCs w:val="24"/>
          <w:shd w:val="clear" w:color="auto" w:fill="FFFFFF"/>
        </w:rPr>
        <w:t xml:space="preserve"> theory of assembly</w:t>
      </w:r>
      <w:r w:rsidRPr="00E24881">
        <w:rPr>
          <w:rFonts w:ascii="Times New Roman" w:eastAsia="Calibri" w:hAnsi="Times New Roman" w:cs="Times New Roman"/>
          <w:color w:val="222222"/>
          <w:sz w:val="24"/>
          <w:szCs w:val="24"/>
          <w:shd w:val="clear" w:color="auto" w:fill="FFFFFF"/>
        </w:rPr>
        <w:t xml:space="preserve">. </w:t>
      </w:r>
      <w:r>
        <w:rPr>
          <w:rFonts w:ascii="Times New Roman" w:eastAsia="Calibri" w:hAnsi="Times New Roman" w:cs="Times New Roman"/>
          <w:color w:val="222222"/>
          <w:sz w:val="24"/>
          <w:szCs w:val="24"/>
          <w:shd w:val="clear" w:color="auto" w:fill="FFFFFF"/>
        </w:rPr>
        <w:t>H</w:t>
      </w:r>
      <w:r w:rsidRPr="00E24881">
        <w:rPr>
          <w:rFonts w:ascii="Times New Roman" w:eastAsia="Calibri" w:hAnsi="Times New Roman" w:cs="Times New Roman"/>
          <w:color w:val="222222"/>
          <w:sz w:val="24"/>
          <w:szCs w:val="24"/>
          <w:shd w:val="clear" w:color="auto" w:fill="FFFFFF"/>
        </w:rPr>
        <w:t xml:space="preserve">arvard </w:t>
      </w:r>
      <w:proofErr w:type="gramStart"/>
      <w:r w:rsidRPr="00E24881">
        <w:rPr>
          <w:rFonts w:ascii="Times New Roman" w:eastAsia="Calibri" w:hAnsi="Times New Roman" w:cs="Times New Roman"/>
          <w:color w:val="222222"/>
          <w:sz w:val="24"/>
          <w:szCs w:val="24"/>
          <w:shd w:val="clear" w:color="auto" w:fill="FFFFFF"/>
        </w:rPr>
        <w:t>university</w:t>
      </w:r>
      <w:proofErr w:type="gramEnd"/>
      <w:r w:rsidRPr="00E24881">
        <w:rPr>
          <w:rFonts w:ascii="Times New Roman" w:eastAsia="Calibri" w:hAnsi="Times New Roman" w:cs="Times New Roman"/>
          <w:color w:val="222222"/>
          <w:sz w:val="24"/>
          <w:szCs w:val="24"/>
          <w:shd w:val="clear" w:color="auto" w:fill="FFFFFF"/>
        </w:rPr>
        <w:t xml:space="preserve"> Press, 2015.</w:t>
      </w:r>
    </w:p>
    <w:p w:rsidR="008975A5" w:rsidRPr="001C5D31" w:rsidRDefault="008975A5" w:rsidP="001C5D31">
      <w:pPr>
        <w:spacing w:line="480" w:lineRule="auto"/>
        <w:contextualSpacing/>
        <w:rPr>
          <w:rFonts w:ascii="Times New Roman" w:hAnsi="Times New Roman" w:cs="Times New Roman"/>
          <w:sz w:val="24"/>
          <w:szCs w:val="24"/>
        </w:rPr>
      </w:pPr>
    </w:p>
    <w:sectPr w:rsidR="008975A5" w:rsidRPr="001C5D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CBC" w:rsidRDefault="00BA3CBC" w:rsidP="00CE259A">
      <w:pPr>
        <w:spacing w:after="0" w:line="240" w:lineRule="auto"/>
      </w:pPr>
      <w:r>
        <w:separator/>
      </w:r>
    </w:p>
  </w:endnote>
  <w:endnote w:type="continuationSeparator" w:id="0">
    <w:p w:rsidR="00BA3CBC" w:rsidRDefault="00BA3CBC" w:rsidP="00CE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CBC" w:rsidRDefault="00BA3CBC" w:rsidP="00CE259A">
      <w:pPr>
        <w:spacing w:after="0" w:line="240" w:lineRule="auto"/>
      </w:pPr>
      <w:r>
        <w:separator/>
      </w:r>
    </w:p>
  </w:footnote>
  <w:footnote w:type="continuationSeparator" w:id="0">
    <w:p w:rsidR="00BA3CBC" w:rsidRDefault="00BA3CBC" w:rsidP="00CE25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729293"/>
      <w:docPartObj>
        <w:docPartGallery w:val="Page Numbers (Top of Page)"/>
        <w:docPartUnique/>
      </w:docPartObj>
    </w:sdtPr>
    <w:sdtEndPr>
      <w:rPr>
        <w:noProof/>
      </w:rPr>
    </w:sdtEndPr>
    <w:sdtContent>
      <w:p w:rsidR="00CE259A" w:rsidRPr="00CE259A" w:rsidRDefault="00CE259A">
        <w:pPr>
          <w:pStyle w:val="Header"/>
          <w:jc w:val="right"/>
          <w:rPr>
            <w:rFonts w:ascii="Times New Roman" w:hAnsi="Times New Roman" w:cs="Times New Roman"/>
            <w:sz w:val="24"/>
            <w:szCs w:val="24"/>
          </w:rPr>
        </w:pPr>
        <w:r w:rsidRPr="00CE259A">
          <w:rPr>
            <w:rFonts w:ascii="Times New Roman" w:hAnsi="Times New Roman" w:cs="Times New Roman"/>
            <w:sz w:val="24"/>
            <w:szCs w:val="24"/>
          </w:rPr>
          <w:t xml:space="preserve">Surname </w:t>
        </w:r>
        <w:r w:rsidRPr="00CE259A">
          <w:rPr>
            <w:rFonts w:ascii="Times New Roman" w:hAnsi="Times New Roman" w:cs="Times New Roman"/>
            <w:sz w:val="24"/>
            <w:szCs w:val="24"/>
          </w:rPr>
          <w:fldChar w:fldCharType="begin"/>
        </w:r>
        <w:r w:rsidRPr="00CE259A">
          <w:rPr>
            <w:rFonts w:ascii="Times New Roman" w:hAnsi="Times New Roman" w:cs="Times New Roman"/>
            <w:sz w:val="24"/>
            <w:szCs w:val="24"/>
          </w:rPr>
          <w:instrText xml:space="preserve"> PAGE   \* MERGEFORMAT </w:instrText>
        </w:r>
        <w:r w:rsidRPr="00CE259A">
          <w:rPr>
            <w:rFonts w:ascii="Times New Roman" w:hAnsi="Times New Roman" w:cs="Times New Roman"/>
            <w:sz w:val="24"/>
            <w:szCs w:val="24"/>
          </w:rPr>
          <w:fldChar w:fldCharType="separate"/>
        </w:r>
        <w:r w:rsidR="00E92E3F">
          <w:rPr>
            <w:rFonts w:ascii="Times New Roman" w:hAnsi="Times New Roman" w:cs="Times New Roman"/>
            <w:noProof/>
            <w:sz w:val="24"/>
            <w:szCs w:val="24"/>
          </w:rPr>
          <w:t>1</w:t>
        </w:r>
        <w:r w:rsidRPr="00CE259A">
          <w:rPr>
            <w:rFonts w:ascii="Times New Roman" w:hAnsi="Times New Roman" w:cs="Times New Roman"/>
            <w:noProof/>
            <w:sz w:val="24"/>
            <w:szCs w:val="24"/>
          </w:rPr>
          <w:fldChar w:fldCharType="end"/>
        </w:r>
      </w:p>
    </w:sdtContent>
  </w:sdt>
  <w:p w:rsidR="00CE259A" w:rsidRPr="00CE259A" w:rsidRDefault="00CE259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1E68"/>
    <w:multiLevelType w:val="hybridMultilevel"/>
    <w:tmpl w:val="790C2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4B591F"/>
    <w:multiLevelType w:val="hybridMultilevel"/>
    <w:tmpl w:val="1B5048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3741C7"/>
    <w:multiLevelType w:val="hybridMultilevel"/>
    <w:tmpl w:val="52F88476"/>
    <w:lvl w:ilvl="0" w:tplc="0638CD80">
      <w:start w:val="1"/>
      <w:numFmt w:val="bullet"/>
      <w:lvlText w:val=""/>
      <w:lvlJc w:val="left"/>
      <w:pPr>
        <w:ind w:left="720" w:hanging="360"/>
      </w:pPr>
      <w:rPr>
        <w:rFonts w:ascii="Symbol" w:hAnsi="Symbol" w:hint="default"/>
      </w:rPr>
    </w:lvl>
    <w:lvl w:ilvl="1" w:tplc="4822D624" w:tentative="1">
      <w:start w:val="1"/>
      <w:numFmt w:val="bullet"/>
      <w:lvlText w:val="o"/>
      <w:lvlJc w:val="left"/>
      <w:pPr>
        <w:ind w:left="1440" w:hanging="360"/>
      </w:pPr>
      <w:rPr>
        <w:rFonts w:ascii="Courier New" w:hAnsi="Courier New" w:cs="Courier New" w:hint="default"/>
      </w:rPr>
    </w:lvl>
    <w:lvl w:ilvl="2" w:tplc="B94C484C" w:tentative="1">
      <w:start w:val="1"/>
      <w:numFmt w:val="bullet"/>
      <w:lvlText w:val=""/>
      <w:lvlJc w:val="left"/>
      <w:pPr>
        <w:ind w:left="2160" w:hanging="360"/>
      </w:pPr>
      <w:rPr>
        <w:rFonts w:ascii="Wingdings" w:hAnsi="Wingdings" w:hint="default"/>
      </w:rPr>
    </w:lvl>
    <w:lvl w:ilvl="3" w:tplc="1E5AC7E0" w:tentative="1">
      <w:start w:val="1"/>
      <w:numFmt w:val="bullet"/>
      <w:lvlText w:val=""/>
      <w:lvlJc w:val="left"/>
      <w:pPr>
        <w:ind w:left="2880" w:hanging="360"/>
      </w:pPr>
      <w:rPr>
        <w:rFonts w:ascii="Symbol" w:hAnsi="Symbol" w:hint="default"/>
      </w:rPr>
    </w:lvl>
    <w:lvl w:ilvl="4" w:tplc="650CD2BA" w:tentative="1">
      <w:start w:val="1"/>
      <w:numFmt w:val="bullet"/>
      <w:lvlText w:val="o"/>
      <w:lvlJc w:val="left"/>
      <w:pPr>
        <w:ind w:left="3600" w:hanging="360"/>
      </w:pPr>
      <w:rPr>
        <w:rFonts w:ascii="Courier New" w:hAnsi="Courier New" w:cs="Courier New" w:hint="default"/>
      </w:rPr>
    </w:lvl>
    <w:lvl w:ilvl="5" w:tplc="AB9E39D2" w:tentative="1">
      <w:start w:val="1"/>
      <w:numFmt w:val="bullet"/>
      <w:lvlText w:val=""/>
      <w:lvlJc w:val="left"/>
      <w:pPr>
        <w:ind w:left="4320" w:hanging="360"/>
      </w:pPr>
      <w:rPr>
        <w:rFonts w:ascii="Wingdings" w:hAnsi="Wingdings" w:hint="default"/>
      </w:rPr>
    </w:lvl>
    <w:lvl w:ilvl="6" w:tplc="A40C00C0" w:tentative="1">
      <w:start w:val="1"/>
      <w:numFmt w:val="bullet"/>
      <w:lvlText w:val=""/>
      <w:lvlJc w:val="left"/>
      <w:pPr>
        <w:ind w:left="5040" w:hanging="360"/>
      </w:pPr>
      <w:rPr>
        <w:rFonts w:ascii="Symbol" w:hAnsi="Symbol" w:hint="default"/>
      </w:rPr>
    </w:lvl>
    <w:lvl w:ilvl="7" w:tplc="22F2EC56" w:tentative="1">
      <w:start w:val="1"/>
      <w:numFmt w:val="bullet"/>
      <w:lvlText w:val="o"/>
      <w:lvlJc w:val="left"/>
      <w:pPr>
        <w:ind w:left="5760" w:hanging="360"/>
      </w:pPr>
      <w:rPr>
        <w:rFonts w:ascii="Courier New" w:hAnsi="Courier New" w:cs="Courier New" w:hint="default"/>
      </w:rPr>
    </w:lvl>
    <w:lvl w:ilvl="8" w:tplc="4D0884C4" w:tentative="1">
      <w:start w:val="1"/>
      <w:numFmt w:val="bullet"/>
      <w:lvlText w:val=""/>
      <w:lvlJc w:val="left"/>
      <w:pPr>
        <w:ind w:left="6480" w:hanging="360"/>
      </w:pPr>
      <w:rPr>
        <w:rFonts w:ascii="Wingdings" w:hAnsi="Wingdings" w:hint="default"/>
      </w:rPr>
    </w:lvl>
  </w:abstractNum>
  <w:abstractNum w:abstractNumId="3">
    <w:nsid w:val="225E2953"/>
    <w:multiLevelType w:val="hybridMultilevel"/>
    <w:tmpl w:val="790C2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023401"/>
    <w:multiLevelType w:val="hybridMultilevel"/>
    <w:tmpl w:val="E3DE4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BE2069"/>
    <w:multiLevelType w:val="hybridMultilevel"/>
    <w:tmpl w:val="6FDA87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2NzW3MDCwMDOxMDBW0lEKTi0uzszPAymwqAUAfwaQlSwAAAA="/>
  </w:docVars>
  <w:rsids>
    <w:rsidRoot w:val="00CE259A"/>
    <w:rsid w:val="00174C38"/>
    <w:rsid w:val="001849A4"/>
    <w:rsid w:val="00191A26"/>
    <w:rsid w:val="001C5D31"/>
    <w:rsid w:val="001E601C"/>
    <w:rsid w:val="002316D9"/>
    <w:rsid w:val="002A4779"/>
    <w:rsid w:val="002E1823"/>
    <w:rsid w:val="002F7877"/>
    <w:rsid w:val="003529BE"/>
    <w:rsid w:val="0037116E"/>
    <w:rsid w:val="003C7ADB"/>
    <w:rsid w:val="004D3A5F"/>
    <w:rsid w:val="004E0BB8"/>
    <w:rsid w:val="004F1ABE"/>
    <w:rsid w:val="00503B88"/>
    <w:rsid w:val="005444D3"/>
    <w:rsid w:val="0059396C"/>
    <w:rsid w:val="006341C5"/>
    <w:rsid w:val="00674834"/>
    <w:rsid w:val="00704EE7"/>
    <w:rsid w:val="007333A7"/>
    <w:rsid w:val="00783697"/>
    <w:rsid w:val="007B7CEB"/>
    <w:rsid w:val="007D6700"/>
    <w:rsid w:val="00825CB5"/>
    <w:rsid w:val="0083199C"/>
    <w:rsid w:val="00861242"/>
    <w:rsid w:val="00862FAC"/>
    <w:rsid w:val="00871273"/>
    <w:rsid w:val="00890778"/>
    <w:rsid w:val="008975A5"/>
    <w:rsid w:val="008A4ECC"/>
    <w:rsid w:val="0096440B"/>
    <w:rsid w:val="009B3535"/>
    <w:rsid w:val="00A25E6A"/>
    <w:rsid w:val="00A805AA"/>
    <w:rsid w:val="00A92887"/>
    <w:rsid w:val="00B938AE"/>
    <w:rsid w:val="00BA3CBC"/>
    <w:rsid w:val="00CE259A"/>
    <w:rsid w:val="00D23EA6"/>
    <w:rsid w:val="00DE27FB"/>
    <w:rsid w:val="00E24881"/>
    <w:rsid w:val="00E425EB"/>
    <w:rsid w:val="00E92E3F"/>
    <w:rsid w:val="00F23168"/>
    <w:rsid w:val="00FD6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6367E9-6DD2-48A4-B584-F07AD746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59A"/>
  </w:style>
  <w:style w:type="paragraph" w:styleId="Footer">
    <w:name w:val="footer"/>
    <w:basedOn w:val="Normal"/>
    <w:link w:val="FooterChar"/>
    <w:uiPriority w:val="99"/>
    <w:unhideWhenUsed/>
    <w:rsid w:val="00CE25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59A"/>
  </w:style>
  <w:style w:type="character" w:styleId="Hyperlink">
    <w:name w:val="Hyperlink"/>
    <w:basedOn w:val="DefaultParagraphFont"/>
    <w:uiPriority w:val="99"/>
    <w:unhideWhenUsed/>
    <w:rsid w:val="008975A5"/>
    <w:rPr>
      <w:color w:val="0563C1" w:themeColor="hyperlink"/>
      <w:u w:val="single"/>
    </w:rPr>
  </w:style>
  <w:style w:type="paragraph" w:styleId="ListParagraph">
    <w:name w:val="List Paragraph"/>
    <w:basedOn w:val="Normal"/>
    <w:uiPriority w:val="34"/>
    <w:qFormat/>
    <w:rsid w:val="002316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14706">
      <w:bodyDiv w:val="1"/>
      <w:marLeft w:val="0"/>
      <w:marRight w:val="0"/>
      <w:marTop w:val="0"/>
      <w:marBottom w:val="0"/>
      <w:divBdr>
        <w:top w:val="none" w:sz="0" w:space="0" w:color="auto"/>
        <w:left w:val="none" w:sz="0" w:space="0" w:color="auto"/>
        <w:bottom w:val="none" w:sz="0" w:space="0" w:color="auto"/>
        <w:right w:val="none" w:sz="0" w:space="0" w:color="auto"/>
      </w:divBdr>
    </w:div>
    <w:div w:id="55315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2020-11-24T17:21:00Z</dcterms:created>
  <dcterms:modified xsi:type="dcterms:W3CDTF">2020-11-24T17:42:00Z</dcterms:modified>
</cp:coreProperties>
</file>